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103"/>
        <w:rPr>
          <w:rFonts w:ascii="Times New Roman" w:hAnsi="Times New Roman" w:eastAsia="Times New Roman" w:cs="Times New Roman"/>
          <w:sz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lang w:eastAsia="ru-RU"/>
        </w:rPr>
        <w:t>Приложение № 9</w:t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к Договору  № ____________________</w:t>
      </w:r>
    </w:p>
    <w:p>
      <w:pPr>
        <w:pStyle w:val="Normal"/>
        <w:spacing w:lineRule="auto" w:line="240" w:before="0" w:after="0"/>
        <w:ind w:firstLine="5103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от «____» __________ 202_</w:t>
      </w:r>
      <w:bookmarkStart w:id="0" w:name="_GoBack"/>
      <w:bookmarkEnd w:id="0"/>
      <w:r>
        <w:rPr>
          <w:rFonts w:eastAsia="Calibri" w:cs="Times New Roman" w:ascii="Times New Roman" w:hAnsi="Times New Roman"/>
          <w:sz w:val="24"/>
          <w:szCs w:val="24"/>
        </w:rPr>
        <w:t xml:space="preserve"> г.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134" w:leader="none"/>
        </w:tabs>
        <w:ind w:firstLine="851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Критерии отбора Банков-Гарантов</w:t>
      </w:r>
      <w:r>
        <w:rPr>
          <w:rStyle w:val="Style7"/>
          <w:rFonts w:cs="Times New Roman" w:ascii="Times New Roman" w:hAnsi="Times New Roman"/>
          <w:sz w:val="26"/>
          <w:szCs w:val="26"/>
        </w:rPr>
        <w:footnoteReference w:id="2"/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Банк-Гарант (кредитная организация), выдающий банковскую гарантию, должен входить в перечень Банков-Гарантов Группы РусГидро</w:t>
      </w:r>
      <w:r>
        <w:rPr>
          <w:rStyle w:val="Style7"/>
          <w:rFonts w:cs="Times New Roman" w:ascii="Times New Roman" w:hAnsi="Times New Roman"/>
          <w:sz w:val="26"/>
          <w:szCs w:val="26"/>
          <w:vertAlign w:val="superscript"/>
        </w:rPr>
        <w:footnoteReference w:id="3"/>
      </w:r>
      <w:r>
        <w:rPr>
          <w:rFonts w:cs="Times New Roman" w:ascii="Times New Roman" w:hAnsi="Times New Roman"/>
          <w:sz w:val="26"/>
          <w:szCs w:val="26"/>
        </w:rPr>
        <w:t>, а также соответствовать следующим критериям: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213-ФЗ).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Иметь собственные средства (капитал) в размере не менее 30 млрд. рублей на 01 января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</w:t>
      </w:r>
      <w:r>
        <w:rPr>
          <w:rStyle w:val="Style7"/>
          <w:rFonts w:cs="Times New Roman" w:ascii="Times New Roman" w:hAnsi="Times New Roman"/>
          <w:sz w:val="26"/>
          <w:szCs w:val="26"/>
          <w:vertAlign w:val="superscript"/>
        </w:rPr>
        <w:footnoteReference w:id="4"/>
      </w:r>
      <w:r>
        <w:rPr>
          <w:rFonts w:cs="Times New Roman" w:ascii="Times New Roman" w:hAnsi="Times New Roman"/>
          <w:sz w:val="26"/>
          <w:szCs w:val="26"/>
        </w:rPr>
        <w:t xml:space="preserve">. 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Федерации»</w:t>
      </w:r>
      <w:r>
        <w:rPr>
          <w:rStyle w:val="Style7"/>
          <w:rFonts w:cs="Times New Roman" w:ascii="Times New Roman" w:hAnsi="Times New Roman"/>
          <w:sz w:val="26"/>
          <w:szCs w:val="26"/>
          <w:vertAlign w:val="superscript"/>
        </w:rPr>
        <w:footnoteReference w:id="5"/>
      </w:r>
      <w:r>
        <w:rPr>
          <w:rFonts w:cs="Times New Roman" w:ascii="Times New Roman" w:hAnsi="Times New Roman"/>
          <w:sz w:val="26"/>
          <w:szCs w:val="26"/>
        </w:rPr>
        <w:t>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Не иметь просроченную задолженность перед Обществом и компаниями Группы РусГидро.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Присутствовать (иметь отделение, филиал) по месту нахождения Общества, его обособленного подразделения или Филиала, для нужд которого заключается Договор</w:t>
      </w:r>
      <w:r>
        <w:rPr>
          <w:rStyle w:val="Style7"/>
          <w:rFonts w:cs="Times New Roman" w:ascii="Times New Roman" w:hAnsi="Times New Roman"/>
          <w:sz w:val="26"/>
          <w:szCs w:val="26"/>
          <w:vertAlign w:val="superscript"/>
        </w:rPr>
        <w:footnoteReference w:id="6"/>
      </w:r>
      <w:r>
        <w:rPr>
          <w:rFonts w:cs="Times New Roman" w:ascii="Times New Roman" w:hAnsi="Times New Roman"/>
          <w:sz w:val="26"/>
          <w:szCs w:val="26"/>
        </w:rPr>
        <w:t>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Требования, установленные пунктами 2 – 4 настоящих Критериев, не распространяются на кредитные организации:</w:t>
      </w:r>
    </w:p>
    <w:p>
      <w:pPr>
        <w:pStyle w:val="Normal"/>
        <w:numPr>
          <w:ilvl w:val="1"/>
          <w:numId w:val="2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>
      <w:pPr>
        <w:pStyle w:val="Normal"/>
        <w:numPr>
          <w:ilvl w:val="1"/>
          <w:numId w:val="2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</w:p>
    <w:p>
      <w:pPr>
        <w:pStyle w:val="Normal"/>
        <w:numPr>
          <w:ilvl w:val="1"/>
          <w:numId w:val="2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Утвержденную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</w:p>
    <w:p>
      <w:pPr>
        <w:pStyle w:val="Normal"/>
        <w:numPr>
          <w:ilvl w:val="1"/>
          <w:numId w:val="2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ВЭБ.РФ.</w:t>
      </w:r>
    </w:p>
    <w:p>
      <w:pPr>
        <w:pStyle w:val="Normal"/>
        <w:numPr>
          <w:ilvl w:val="1"/>
          <w:numId w:val="1"/>
        </w:numPr>
        <w:shd w:val="clear" w:color="auto" w:fill="FFFFFF"/>
        <w:spacing w:lineRule="auto" w:line="240" w:before="0" w:after="0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определяемого по формуле:</w:t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i/>
          <w:sz w:val="26"/>
          <w:szCs w:val="26"/>
        </w:rPr>
        <w:t>Lim</w:t>
      </w:r>
      <w:r>
        <w:rPr>
          <w:rFonts w:cs="Times New Roman" w:ascii="Times New Roman" w:hAnsi="Times New Roman"/>
          <w:b/>
          <w:i/>
          <w:sz w:val="26"/>
          <w:szCs w:val="26"/>
          <w:vertAlign w:val="subscript"/>
        </w:rPr>
        <w:t>Ai</w:t>
      </w:r>
      <w:r>
        <w:rPr>
          <w:rFonts w:cs="Times New Roman" w:ascii="Times New Roman" w:hAnsi="Times New Roman"/>
          <w:b/>
          <w:i/>
          <w:sz w:val="26"/>
          <w:szCs w:val="26"/>
        </w:rPr>
        <w:t xml:space="preserve">  = r</w:t>
      </w:r>
      <w:r>
        <w:rPr>
          <w:rFonts w:cs="Times New Roman" w:ascii="Times New Roman" w:hAnsi="Times New Roman"/>
          <w:b/>
          <w:i/>
          <w:sz w:val="26"/>
          <w:szCs w:val="26"/>
          <w:vertAlign w:val="subscript"/>
        </w:rPr>
        <w:t>i</w:t>
      </w:r>
      <w:r>
        <w:rPr>
          <w:rFonts w:cs="Times New Roman" w:ascii="Times New Roman" w:hAnsi="Times New Roman"/>
          <w:b/>
          <w:i/>
          <w:sz w:val="26"/>
          <w:szCs w:val="26"/>
        </w:rPr>
        <w:t xml:space="preserve"> × СK</w:t>
      </w:r>
      <w:r>
        <w:rPr>
          <w:rFonts w:cs="Times New Roman" w:ascii="Times New Roman" w:hAnsi="Times New Roman"/>
          <w:b/>
          <w:i/>
          <w:sz w:val="26"/>
          <w:szCs w:val="26"/>
          <w:vertAlign w:val="subscript"/>
        </w:rPr>
        <w:t>i</w:t>
      </w:r>
      <w:r>
        <w:rPr>
          <w:rFonts w:cs="Times New Roman" w:ascii="Times New Roman" w:hAnsi="Times New Roman"/>
          <w:sz w:val="26"/>
          <w:szCs w:val="26"/>
        </w:rPr>
        <w:t>, где</w:t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59"/>
        <w:gridCol w:w="139"/>
        <w:gridCol w:w="8508"/>
      </w:tblGrid>
      <w:tr>
        <w:trPr>
          <w:trHeight w:val="426" w:hRule="atLeast"/>
        </w:trPr>
        <w:tc>
          <w:tcPr>
            <w:tcW w:w="959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i/>
                <w:sz w:val="26"/>
                <w:szCs w:val="26"/>
              </w:rPr>
              <w:t>Lim</w:t>
            </w:r>
            <w:r>
              <w:rPr>
                <w:rFonts w:cs="Times New Roman" w:ascii="Times New Roman" w:hAnsi="Times New Roman"/>
                <w:b/>
                <w:i/>
                <w:sz w:val="26"/>
                <w:szCs w:val="26"/>
                <w:vertAlign w:val="subscript"/>
                <w:lang w:val="en-US"/>
              </w:rPr>
              <w:t>Ai</w:t>
            </w:r>
          </w:p>
        </w:tc>
        <w:tc>
          <w:tcPr>
            <w:tcW w:w="139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8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Лимит риска для i-ой кредитной организации</w:t>
            </w:r>
            <w:r>
              <w:rPr>
                <w:rStyle w:val="Style7"/>
                <w:rFonts w:cs="Times New Roman" w:ascii="Times New Roman" w:hAnsi="Times New Roman"/>
                <w:sz w:val="26"/>
                <w:szCs w:val="26"/>
                <w:vertAlign w:val="superscript"/>
              </w:rPr>
              <w:footnoteReference w:id="7"/>
            </w:r>
            <w:r>
              <w:rPr>
                <w:rFonts w:cs="Times New Roman" w:ascii="Times New Roman" w:hAnsi="Times New Roman"/>
                <w:sz w:val="26"/>
                <w:szCs w:val="26"/>
                <w:vertAlign w:val="superscript"/>
              </w:rPr>
              <w:t>.</w:t>
            </w:r>
          </w:p>
        </w:tc>
      </w:tr>
      <w:tr>
        <w:trPr>
          <w:trHeight w:val="280" w:hRule="atLeast"/>
        </w:trPr>
        <w:tc>
          <w:tcPr>
            <w:tcW w:w="959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hanging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6"/>
                <w:szCs w:val="26"/>
                <w:vertAlign w:val="subscript"/>
              </w:rPr>
            </w:pPr>
            <w:r>
              <w:rPr>
                <w:rFonts w:cs="Times New Roman" w:ascii="Times New Roman" w:hAnsi="Times New Roman"/>
                <w:b/>
                <w:i/>
                <w:sz w:val="26"/>
                <w:szCs w:val="26"/>
              </w:rPr>
              <w:t>С</w:t>
            </w:r>
            <w:r>
              <w:rPr>
                <w:rFonts w:cs="Times New Roman" w:ascii="Times New Roman" w:hAnsi="Times New Roman"/>
                <w:b/>
                <w:i/>
                <w:sz w:val="26"/>
                <w:szCs w:val="26"/>
                <w:lang w:val="en-US"/>
              </w:rPr>
              <w:t>K</w:t>
            </w:r>
            <w:r>
              <w:rPr>
                <w:rFonts w:cs="Times New Roman" w:ascii="Times New Roman" w:hAnsi="Times New Roman"/>
                <w:b/>
                <w:i/>
                <w:sz w:val="26"/>
                <w:szCs w:val="26"/>
                <w:vertAlign w:val="subscript"/>
                <w:lang w:val="en-US"/>
              </w:rPr>
              <w:t>i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39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8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2" w:tgtFrame="http://www.cbr.ru">
              <w:r>
                <w:rPr>
                  <w:rFonts w:cs="Times New Roman" w:ascii="Times New Roman" w:hAnsi="Times New Roman"/>
                  <w:sz w:val="26"/>
                  <w:szCs w:val="26"/>
                </w:rPr>
                <w:t>www.cbr.ru</w:t>
              </w:r>
            </w:hyperlink>
            <w:r>
              <w:rPr>
                <w:rFonts w:cs="Times New Roman" w:ascii="Times New Roman" w:hAnsi="Times New Roman"/>
                <w:sz w:val="26"/>
                <w:szCs w:val="26"/>
              </w:rPr>
              <w:t>) по строке 000 «Расчет собственных средств (капитала) («Базель III»)», код формы 0409123;</w:t>
            </w:r>
          </w:p>
        </w:tc>
      </w:tr>
      <w:tr>
        <w:trPr>
          <w:trHeight w:val="993" w:hRule="atLeast"/>
        </w:trPr>
        <w:tc>
          <w:tcPr>
            <w:tcW w:w="95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hanging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i/>
                <w:sz w:val="26"/>
                <w:szCs w:val="26"/>
              </w:rPr>
              <w:t>r</w:t>
            </w:r>
            <w:r>
              <w:rPr>
                <w:rFonts w:cs="Times New Roman" w:ascii="Times New Roman" w:hAnsi="Times New Roman"/>
                <w:b/>
                <w:i/>
                <w:sz w:val="26"/>
                <w:szCs w:val="26"/>
                <w:vertAlign w:val="subscript"/>
              </w:rPr>
              <w:t>i</w:t>
            </w:r>
          </w:p>
        </w:tc>
        <w:tc>
          <w:tcPr>
            <w:tcW w:w="13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8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рейтинговый коэффициент</w:t>
            </w:r>
            <w:r>
              <w:rPr>
                <w:rStyle w:val="Style7"/>
                <w:rFonts w:cs="Times New Roman" w:ascii="Times New Roman" w:hAnsi="Times New Roman"/>
                <w:sz w:val="26"/>
                <w:szCs w:val="26"/>
                <w:vertAlign w:val="superscript"/>
              </w:rPr>
              <w:footnoteReference w:id="8"/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для i-ой кредитной организации, равный: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0,05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«АА-»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</w:t>
            </w:r>
            <w:r>
              <w:rPr>
                <w:rFonts w:cs="Times New Roman" w:ascii="Times New Roman" w:hAnsi="Times New Roman"/>
                <w:b/>
                <w:sz w:val="26"/>
                <w:szCs w:val="26"/>
                <w:lang w:val="en-US"/>
              </w:rPr>
              <w:t>ru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А</w:t>
            </w:r>
            <w:r>
              <w:rPr>
                <w:rFonts w:cs="Times New Roman" w:ascii="Times New Roman" w:hAnsi="Times New Roman"/>
                <w:b/>
                <w:sz w:val="26"/>
                <w:szCs w:val="26"/>
                <w:lang w:val="en-US"/>
              </w:rPr>
              <w:t>A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-»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0,025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«А-»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«ruA-»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0,015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- если i-ая кредитная организация имеет национальный рейтинг кредитоспособности не ниже уровня 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«</w:t>
            </w:r>
            <w:r>
              <w:rPr>
                <w:rFonts w:cs="Times New Roman" w:ascii="Times New Roman" w:hAnsi="Times New Roman"/>
                <w:b/>
                <w:sz w:val="26"/>
                <w:szCs w:val="26"/>
                <w:lang w:val="en-US"/>
              </w:rPr>
              <w:t>BB</w:t>
            </w:r>
            <w:r>
              <w:rPr>
                <w:rFonts w:cs="Times New Roman" w:ascii="Times New Roman" w:hAnsi="Times New Roman"/>
                <w:b/>
                <w:sz w:val="26"/>
                <w:szCs w:val="26"/>
              </w:rPr>
              <w:t>В»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cs="Times New Roman" w:ascii="Times New Roman" w:hAnsi="Times New Roman"/>
                <w:sz w:val="26"/>
                <w:szCs w:val="26"/>
                <w:lang w:val="en-US"/>
              </w:rPr>
              <w:t>ruBB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В» по классификации рейтингового агентства Эксперт РА, а также находится в процессе финансового оздоровления (санации).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hanging="0"/>
        <w:jc w:val="right"/>
        <w:rPr>
          <w:rFonts w:ascii="Times New Roman" w:hAnsi="Times New Roman" w:eastAsia="Calibri" w:cs="Times New Roman" w:eastAsiaTheme="minorHAnsi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Calibri" w:cs="Times New Roman" w:eastAsiaTheme="minorHAnsi"/>
          <w:bCs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Calibri" w:cs="Times New Roman" w:eastAsiaTheme="minorHAnsi" w:ascii="Times New Roman" w:hAnsi="Times New Roman"/>
          <w:bCs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от Заказчика:</w:t>
        <w:tab/>
        <w:tab/>
        <w:tab/>
        <w:tab/>
        <w:tab/>
        <w:t xml:space="preserve">                    от  Подрядчика: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                 </w:t>
      </w:r>
      <w:r>
        <w:rPr>
          <w:rFonts w:eastAsia="Times New Roman" w:cs="Times New Roman" w:ascii="Times New Roman" w:hAnsi="Times New Roman"/>
          <w:b/>
        </w:rPr>
        <w:t>МП                                                                                          МП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</w:r>
    </w:p>
    <w:sectPr>
      <w:footnotePr>
        <w:numFmt w:val="decimal"/>
      </w:footnote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4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Требования подлежат обязательному включению в состав документации о закупке.</w:t>
      </w:r>
    </w:p>
  </w:footnote>
  <w:footnote w:id="3">
    <w:p>
      <w:pPr>
        <w:pStyle w:val="Style24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Актуальный Перечень Банков-Гарантов Группы РусГидро размещен на официальном сайте Общества http://zakupki.rushydro.ru/PublicContent/Section/6</w:t>
      </w:r>
    </w:p>
  </w:footnote>
  <w:footnote w:id="4">
    <w:p>
      <w:pPr>
        <w:pStyle w:val="Style24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</w:p>
  </w:footnote>
  <w:footnote w:id="5">
    <w:p>
      <w:pPr>
        <w:pStyle w:val="Style24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Данное требование не применяется в отношении небанковских кредитных организаций.</w:t>
      </w:r>
    </w:p>
  </w:footnote>
  <w:footnote w:id="6">
    <w:p>
      <w:pPr>
        <w:pStyle w:val="Style24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При издании ПО организационно-распорядительного документа о ТФУ данный критерий может быть исключен.</w:t>
      </w:r>
    </w:p>
  </w:footnote>
  <w:footnote w:id="7">
    <w:p>
      <w:pPr>
        <w:pStyle w:val="Style24"/>
        <w:widowControl w:val="false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 к установлению - 5 500 млн. руб.</w:t>
      </w:r>
    </w:p>
  </w:footnote>
  <w:footnote w:id="8">
    <w:p>
      <w:pPr>
        <w:pStyle w:val="Style24"/>
        <w:widowControl w:val="false"/>
        <w:jc w:val="both"/>
        <w:rPr/>
      </w:pPr>
      <w:r>
        <w:rPr>
          <w:rStyle w:val="Style10"/>
        </w:rPr>
        <w:footnoteRef/>
      </w:r>
      <w:r>
        <w:rPr/>
        <w:t xml:space="preserve"> </w:t>
      </w:r>
      <w:r>
        <w:rPr/>
        <w:t>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>
    <w:lvl w:ilvl="0">
      <w:start w:val="9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2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2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71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488" w:hanging="21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939"/>
    <w:qFormat/>
    <w:pPr>
      <w:keepNext w:val="true"/>
      <w:spacing w:lineRule="auto" w:line="240" w:before="240" w:after="60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Normal"/>
    <w:link w:val="758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link w:val="760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762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764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76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768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770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772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link w:val="930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757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759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76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76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76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76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76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77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774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6"/>
    <w:uiPriority w:val="11"/>
    <w:qFormat/>
    <w:rPr>
      <w:sz w:val="24"/>
      <w:szCs w:val="24"/>
    </w:rPr>
  </w:style>
  <w:style w:type="character" w:styleId="QuoteChar">
    <w:name w:val="Quote Char"/>
    <w:link w:val="778"/>
    <w:uiPriority w:val="29"/>
    <w:qFormat/>
    <w:rPr>
      <w:i/>
    </w:rPr>
  </w:style>
  <w:style w:type="character" w:styleId="IntenseQuoteChar">
    <w:name w:val="Intense Quote Char"/>
    <w:link w:val="780"/>
    <w:uiPriority w:val="30"/>
    <w:qFormat/>
    <w:rPr>
      <w:i/>
    </w:rPr>
  </w:style>
  <w:style w:type="character" w:styleId="HeaderChar">
    <w:name w:val="Header Char"/>
    <w:basedOn w:val="DefaultParagraphFont"/>
    <w:link w:val="782"/>
    <w:uiPriority w:val="99"/>
    <w:qFormat/>
    <w:rPr/>
  </w:style>
  <w:style w:type="character" w:styleId="FooterChar">
    <w:name w:val="Footer Char"/>
    <w:basedOn w:val="DefaultParagraphFont"/>
    <w:link w:val="784"/>
    <w:uiPriority w:val="99"/>
    <w:qFormat/>
    <w:rPr/>
  </w:style>
  <w:style w:type="character" w:styleId="CaptionChar">
    <w:name w:val="Caption Char"/>
    <w:link w:val="784"/>
    <w:uiPriority w:val="99"/>
    <w:qFormat/>
    <w:rPr/>
  </w:style>
  <w:style w:type="character" w:styleId="FootnoteTextChar">
    <w:name w:val="Footnote Text Char"/>
    <w:link w:val="934"/>
    <w:uiPriority w:val="99"/>
    <w:qFormat/>
    <w:rPr>
      <w:sz w:val="18"/>
    </w:rPr>
  </w:style>
  <w:style w:type="character" w:styleId="EndnoteTextChar">
    <w:name w:val="Endnote Text Char"/>
    <w:link w:val="915"/>
    <w:uiPriority w:val="99"/>
    <w:qFormat/>
    <w:rPr>
      <w:sz w:val="20"/>
    </w:rPr>
  </w:style>
  <w:style w:type="character" w:styleId="Style5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Текст сноски Знак"/>
    <w:basedOn w:val="DefaultParagraphFont"/>
    <w:link w:val="934"/>
    <w:uiPriority w:val="99"/>
    <w:qFormat/>
    <w:rPr>
      <w:sz w:val="20"/>
      <w:szCs w:val="20"/>
    </w:rPr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8">
    <w:name w:val="Интернет-ссылка"/>
    <w:uiPriority w:val="99"/>
    <w:unhideWhenUsed/>
    <w:rPr>
      <w:color w:val="0000FF"/>
      <w:u w:val="single"/>
    </w:rPr>
  </w:style>
  <w:style w:type="character" w:styleId="Style9">
    <w:name w:val="Посещённая гиперссылка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11" w:customStyle="1">
    <w:name w:val="Заголовок 1 Знак"/>
    <w:basedOn w:val="DefaultParagraphFont"/>
    <w:link w:val="930"/>
    <w:qFormat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Style10">
    <w:name w:val="Символ сноски"/>
    <w:qFormat/>
    <w:rPr/>
  </w:style>
  <w:style w:type="character" w:styleId="Style11">
    <w:name w:val="Символ концевой сноски"/>
    <w:qFormat/>
    <w:rPr/>
  </w:style>
  <w:style w:type="character" w:styleId="Style12">
    <w:name w:val="Знак сноски"/>
    <w:qFormat/>
    <w:rPr>
      <w:vertAlign w:val="superscript"/>
    </w:rPr>
  </w:style>
  <w:style w:type="character" w:styleId="12">
    <w:name w:val="Знак сноски1"/>
    <w:qFormat/>
    <w:rPr>
      <w:vertAlign w:val="superscript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link w:val="787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8">
    <w:name w:val="Title"/>
    <w:basedOn w:val="Normal"/>
    <w:link w:val="77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9">
    <w:name w:val="Subtitle"/>
    <w:basedOn w:val="Normal"/>
    <w:link w:val="777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9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8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783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787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3">
    <w:name w:val="Endnote Text"/>
    <w:basedOn w:val="Normal"/>
    <w:link w:val="916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3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4">
    <w:name w:val="Footnote Text"/>
    <w:basedOn w:val="Normal"/>
    <w:link w:val="935"/>
    <w:uiPriority w:val="99"/>
    <w:unhideWhenUsed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25">
    <w:name w:val="Текст сноски"/>
    <w:basedOn w:val="Normal"/>
    <w:qFormat/>
    <w:pPr/>
    <w:rPr>
      <w:sz w:val="20"/>
      <w:szCs w:val="20"/>
    </w:rPr>
  </w:style>
  <w:style w:type="paragraph" w:styleId="14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br.ru/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LibreOffice/7.1.8.1$Linux_X86_64 LibreOffice_project/10$Build-1</Application>
  <AppVersion>15.0000</AppVersion>
  <Pages>3</Pages>
  <Words>932</Words>
  <Characters>6577</Characters>
  <CharactersWithSpaces>7603</CharactersWithSpaces>
  <Paragraphs>41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2019-12-30T00:33:00Z</dcterms:created>
  <dc:creator>Лукьянова</dc:creator>
  <dc:description/>
  <dc:language>ru-RU</dc:language>
  <cp:lastModifiedBy/>
  <dcterms:modified xsi:type="dcterms:W3CDTF">2026-07-08T10:36:40Z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